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280160" cy="1280160"/>
            <wp:docPr id="1" name="Picture 1"/>
            <wp:cNvGraphicFramePr>
              <a:graphicFrameLocks noChangeAspect="1"/>
            </wp:cNvGraphicFramePr>
            <a:graphic>
              <a:graphicData uri="http://schemas.openxmlformats.org/drawingml/2006/picture">
                <pic:pic>
                  <pic:nvPicPr>
                    <pic:cNvPr id="0" name="tca-coin.png"/>
                    <pic:cNvPicPr/>
                  </pic:nvPicPr>
                  <pic:blipFill>
                    <a:blip r:embed="rId9"/>
                    <a:stretch>
                      <a:fillRect/>
                    </a:stretch>
                  </pic:blipFill>
                  <pic:spPr>
                    <a:xfrm>
                      <a:off x="0" y="0"/>
                      <a:ext cx="1280160" cy="1280160"/>
                    </a:xfrm>
                    <a:prstGeom prst="rect"/>
                  </pic:spPr>
                </pic:pic>
              </a:graphicData>
            </a:graphic>
          </wp:inline>
        </w:drawing>
      </w:r>
    </w:p>
    <w:p>
      <w:pPr>
        <w:jc w:val="center"/>
      </w:pPr>
      <w:r>
        <w:rPr>
          <w:b/>
          <w:i w:val="0"/>
          <w:color w:val="F59E0B"/>
          <w:sz w:val="60"/>
        </w:rPr>
        <w:t>TECHAGENT</w:t>
      </w:r>
    </w:p>
    <w:p>
      <w:pPr>
        <w:jc w:val="center"/>
      </w:pPr>
      <w:r>
        <w:rPr>
          <w:i w:val="0"/>
          <w:color w:val="111418"/>
          <w:sz w:val="30"/>
        </w:rPr>
        <w:t>Independent AI Aggregator</w:t>
      </w:r>
    </w:p>
    <w:p>
      <w:pPr>
        <w:jc w:val="center"/>
      </w:pPr>
      <w:r>
        <w:rPr>
          <w:b/>
          <w:i w:val="0"/>
          <w:sz w:val="28"/>
        </w:rPr>
        <w:t>Whitepaper</w:t>
      </w:r>
    </w:p>
    <w:p>
      <w:pPr>
        <w:jc w:val="center"/>
      </w:pPr>
      <w:r>
        <w:rPr>
          <w:i w:val="0"/>
          <w:color w:val="444444"/>
          <w:sz w:val="21"/>
        </w:rPr>
        <w:t>Token: TechCoinAgent (TCA)</w:t>
      </w:r>
    </w:p>
    <w:p>
      <w:pPr>
        <w:jc w:val="center"/>
      </w:pPr>
      <w:r>
        <w:rPr>
          <w:i w:val="0"/>
          <w:color w:val="444444"/>
          <w:sz w:val="21"/>
        </w:rPr>
        <w:t>Network: Base (ERC-20)</w:t>
      </w:r>
    </w:p>
    <w:p>
      <w:pPr>
        <w:jc w:val="center"/>
      </w:pPr>
      <w:r>
        <w:rPr>
          <w:i w:val="0"/>
          <w:color w:val="444444"/>
          <w:sz w:val="21"/>
        </w:rPr>
        <w:t>Version: 1.0   ·   June 2026</w:t>
      </w:r>
    </w:p>
    <w:p>
      <w:pPr>
        <w:jc w:val="center"/>
      </w:pPr>
      <w:r>
        <w:rPr>
          <w:i w:val="0"/>
          <w:color w:val="444444"/>
          <w:sz w:val="21"/>
        </w:rPr>
        <w:t>Slogan: Navigate the AI Economy</w:t>
      </w:r>
    </w:p>
    <w:p>
      <w:pPr>
        <w:jc w:val="center"/>
      </w:pPr>
      <w:r>
        <w:rPr>
          <w:i w:val="0"/>
          <w:color w:val="444444"/>
          <w:sz w:val="21"/>
        </w:rPr>
        <w:t>Website: techagent.com</w:t>
      </w:r>
    </w:p>
    <w:p>
      <w:r>
        <w:br w:type="page"/>
      </w:r>
    </w:p>
    <w:p>
      <w:pPr>
        <w:pStyle w:val="Heading1"/>
      </w:pPr>
      <w:r>
        <w:rPr>
          <w:color w:val="F59E0B"/>
        </w:rPr>
        <w:t>Disclaimer</w:t>
      </w:r>
    </w:p>
    <w:p>
      <w:r>
        <w:rPr>
          <w:i/>
          <w:color w:val="555555"/>
          <w:sz w:val="19"/>
        </w:rPr>
        <w:t>This document is provided for informational purposes only and does not constitute investment advice, a public offering, or a solicitation. TCA is a utility token granting access to features of the TECHAGENT platform; it is not a security and does not represent equity, shares, or any promise of profit. Cryptocurrencies are volatile and participation carries risk up to total loss of funds. All figures in this document are preliminary and subject to change. Nothing herein is a guarantee of future performance.</w:t>
      </w:r>
    </w:p>
    <w:p>
      <w:pPr>
        <w:pStyle w:val="Heading1"/>
      </w:pPr>
      <w:r>
        <w:rPr>
          <w:color w:val="F59E0B"/>
        </w:rPr>
        <w:t>Executive Summary</w:t>
      </w:r>
    </w:p>
    <w:p>
      <w:r>
        <w:rPr>
          <w:i w:val="0"/>
        </w:rPr>
        <w:t>TECHAGENT is an independent aggregator of the AI ecosystem — models, tools, AI agents, companies, influencers, benchmarks and real-world use cases in one place. As the AI market explodes, users drown in options, businesses struggle to evaluate real ROI, and AI vendors face rising acquisition costs and a trust deficit. TECHAGENT removes these inefficiencies by letting people discover, compare and adopt AI solutions based on outcomes rather than hype.</w:t>
      </w:r>
    </w:p>
    <w:p>
      <w:r>
        <w:rPr>
          <w:i w:val="0"/>
        </w:rPr>
        <w:t>TCA (TechCoinAgent) is the utility token that connects the Web2 convenience of the platform with Web3 mechanics: access to premium features, payment for AI agents and workflows, staking for discounts, community rewards, and governance. The token is deployed on Base as an ERC-20 with a fixed total supply of 1,000,000,000 TCA.</w:t>
      </w:r>
    </w:p>
    <w:p>
      <w:pPr>
        <w:pStyle w:val="Heading1"/>
      </w:pPr>
      <w:r>
        <w:rPr>
          <w:color w:val="F59E0B"/>
        </w:rPr>
        <w:t>1. Project Overview</w:t>
      </w:r>
    </w:p>
    <w:p>
      <w:r>
        <w:rPr>
          <w:i w:val="0"/>
        </w:rPr>
        <w:t>TECHAGENT is a unified platform that aggregates the fragmented AI landscape and provides a single, trustworthy entry point into the world of artificial intelligence. Instead of building another isolated tool, TECHAGENT acts as connective infrastructure for the entire AI ecosystem.</w:t>
      </w:r>
    </w:p>
    <w:p>
      <w:r>
        <w:rPr>
          <w:i w:val="0"/>
        </w:rPr>
        <w:t>Our mission:</w:t>
      </w:r>
    </w:p>
    <w:p>
      <w:r>
        <w:rPr>
          <w:i/>
          <w:color w:val="333333"/>
        </w:rPr>
        <w:t>While we still spark desire, can evaluate outcomes and the realization of ideas — let us help one another navigate the new, exciting and highly competitive world of artificial intelligence.</w:t>
      </w:r>
    </w:p>
    <w:p>
      <w:r>
        <w:rPr>
          <w:i w:val="0"/>
        </w:rPr>
        <w:t>The platform serves three audiences in sequence: mass adoption via B2C, monetization via SMB, and scale via B2B / API.</w:t>
      </w:r>
    </w:p>
    <w:p>
      <w:pPr>
        <w:pStyle w:val="Heading1"/>
      </w:pPr>
      <w:r>
        <w:rPr>
          <w:color w:val="F59E0B"/>
        </w:rPr>
        <w:t>2. The Problem</w:t>
      </w:r>
    </w:p>
    <w:p>
      <w:pPr>
        <w:pStyle w:val="Heading2"/>
      </w:pPr>
      <w:r>
        <w:rPr>
          <w:color w:val="111418"/>
        </w:rPr>
        <w:t>2.1. AI market fragmentation</w:t>
      </w:r>
    </w:p>
    <w:p>
      <w:r>
        <w:rPr>
          <w:i w:val="0"/>
        </w:rPr>
        <w:t>The number of AI tools grows faster than anyone can track. Every week brings new models and services; choices increase while the ability to evaluate them objectively decreases.</w:t>
      </w:r>
    </w:p>
    <w:p>
      <w:r>
        <w:rPr>
          <w:i w:val="0"/>
        </w:rPr>
        <w:t>This creates concrete pain points:</w:t>
      </w:r>
    </w:p>
    <w:p>
      <w:pPr>
        <w:pStyle w:val="ListBullet"/>
      </w:pPr>
      <w:r>
        <w:t>High cost of searching for the right AI solution</w:t>
      </w:r>
    </w:p>
    <w:p>
      <w:pPr>
        <w:pStyle w:val="ListBullet"/>
      </w:pPr>
      <w:r>
        <w:t>Lack of objective comparison</w:t>
      </w:r>
    </w:p>
    <w:p>
      <w:pPr>
        <w:pStyle w:val="ListBullet"/>
      </w:pPr>
      <w:r>
        <w:t>No reliable trust signals</w:t>
      </w:r>
    </w:p>
    <w:p>
      <w:pPr>
        <w:pStyle w:val="ListBullet"/>
      </w:pPr>
      <w:r>
        <w:t>Difficulty estimating ROI for business</w:t>
      </w:r>
    </w:p>
    <w:p>
      <w:pPr>
        <w:pStyle w:val="ListBullet"/>
      </w:pPr>
      <w:r>
        <w:t>Fragmented information for users</w:t>
      </w:r>
    </w:p>
    <w:p>
      <w:pPr>
        <w:pStyle w:val="ListBullet"/>
      </w:pPr>
      <w:r>
        <w:t>Rising customer-acquisition costs for AI vendors</w:t>
      </w:r>
    </w:p>
    <w:p>
      <w:pPr>
        <w:pStyle w:val="Heading2"/>
      </w:pPr>
      <w:r>
        <w:rPr>
          <w:color w:val="111418"/>
        </w:rPr>
        <w:t>2.2. Lost value</w:t>
      </w:r>
    </w:p>
    <w:p>
      <w:r>
        <w:rPr>
          <w:i w:val="0"/>
        </w:rPr>
        <w:t>Without a neutral aggregation layer, users overpay or pick the wrong tools, businesses waste budgets on trial-and-error, and vendors burn marketing spend reaching the wrong audience.</w:t>
      </w:r>
    </w:p>
    <w:p>
      <w:pPr>
        <w:pStyle w:val="Heading1"/>
      </w:pPr>
      <w:r>
        <w:rPr>
          <w:color w:val="F59E0B"/>
        </w:rPr>
        <w:t>3. The Solution: TECHAGENT</w:t>
      </w:r>
    </w:p>
    <w:p>
      <w:r>
        <w:rPr>
          <w:i w:val="0"/>
        </w:rPr>
        <w:t>TECHAGENT combines several layers into one product:</w:t>
      </w:r>
    </w:p>
    <w:p>
      <w:pPr>
        <w:pStyle w:val="ListBullet"/>
      </w:pPr>
      <w:r>
        <w:t>A catalog of AI services with use-case filtering</w:t>
      </w:r>
    </w:p>
    <w:p>
      <w:pPr>
        <w:pStyle w:val="ListBullet"/>
      </w:pPr>
      <w:r>
        <w:t>A comparison engine across quality, cost and outcomes</w:t>
      </w:r>
    </w:p>
    <w:p>
      <w:pPr>
        <w:pStyle w:val="ListBullet"/>
      </w:pPr>
      <w:r>
        <w:t>An AI agents marketplace (pre-built workflows &amp; automations)</w:t>
      </w:r>
    </w:p>
    <w:p>
      <w:pPr>
        <w:pStyle w:val="ListBullet"/>
      </w:pPr>
      <w:r>
        <w:t>A community reputation system focused on results, not marketing</w:t>
      </w:r>
    </w:p>
    <w:p>
      <w:pPr>
        <w:pStyle w:val="ListBullet"/>
      </w:pPr>
      <w:r>
        <w:t>A B2B / API layer for enterprise routing and orchestration</w:t>
      </w:r>
    </w:p>
    <w:p>
      <w:pPr>
        <w:pStyle w:val="ListBullet"/>
      </w:pPr>
      <w:r>
        <w:t>An aligned utility &amp; incentive token (TCA)</w:t>
      </w:r>
    </w:p>
    <w:p>
      <w:r>
        <w:rPr>
          <w:i w:val="0"/>
        </w:rPr>
        <w:t>Reputation is outcome-based: reviews evaluate not only features but the practical result, with anti-abuse safeguards and curator incentives that keep data accurate.</w:t>
      </w:r>
    </w:p>
    <w:p>
      <w:pPr>
        <w:pStyle w:val="Heading1"/>
      </w:pPr>
      <w:r>
        <w:rPr>
          <w:color w:val="F59E0B"/>
        </w:rPr>
        <w:t>4. Market &amp; Use Cases</w:t>
      </w:r>
    </w:p>
    <w:p>
      <w:pPr>
        <w:pStyle w:val="Heading2"/>
      </w:pPr>
      <w:r>
        <w:rPr>
          <w:color w:val="111418"/>
        </w:rPr>
        <w:t>B2C</w:t>
      </w:r>
    </w:p>
    <w:p>
      <w:r>
        <w:rPr>
          <w:i w:val="0"/>
        </w:rPr>
        <w:t>Creators, freelancers, students and consumers discovering and comparing AI tools.</w:t>
      </w:r>
    </w:p>
    <w:p>
      <w:pPr>
        <w:pStyle w:val="Heading2"/>
      </w:pPr>
      <w:r>
        <w:rPr>
          <w:color w:val="111418"/>
        </w:rPr>
        <w:t>SMB</w:t>
      </w:r>
    </w:p>
    <w:p>
      <w:r>
        <w:rPr>
          <w:i w:val="0"/>
        </w:rPr>
        <w:t>Small and medium businesses adopting AI for marketing, support, sales enablement and operations.</w:t>
      </w:r>
    </w:p>
    <w:p>
      <w:pPr>
        <w:pStyle w:val="Heading2"/>
      </w:pPr>
      <w:r>
        <w:rPr>
          <w:color w:val="111418"/>
        </w:rPr>
        <w:t>B2B / API</w:t>
      </w:r>
    </w:p>
    <w:p>
      <w:r>
        <w:rPr>
          <w:i w:val="0"/>
        </w:rPr>
        <w:t>Enterprises consuming aggregated catalog data, orchestration APIs, white-label modules and AI routing.</w:t>
      </w:r>
    </w:p>
    <w:p>
      <w:r>
        <w:rPr>
          <w:i w:val="0"/>
        </w:rPr>
        <w:t>Use Case 1: A user describes a task; the platform recommends ranked AI tools by real outcomes and price, and TCA unlocks premium comparisons and expanded access.</w:t>
      </w:r>
    </w:p>
    <w:p>
      <w:r>
        <w:rPr>
          <w:i w:val="0"/>
        </w:rPr>
        <w:t>Use Case 2: A company launches AI agents through TECHAGENT to automate workflows and route tasks across multiple models.</w:t>
      </w:r>
    </w:p>
    <w:p>
      <w:r>
        <w:rPr>
          <w:i w:val="0"/>
        </w:rPr>
        <w:t>Use Case 3: An AI vendor lists a product, receives qualified leads, and gains outcome-based reputation signals.</w:t>
      </w:r>
    </w:p>
    <w:p>
      <w:pPr>
        <w:pStyle w:val="Heading1"/>
      </w:pPr>
      <w:r>
        <w:rPr>
          <w:color w:val="F59E0B"/>
        </w:rPr>
        <w:t>5. Technical Architecture</w:t>
      </w:r>
    </w:p>
    <w:p>
      <w:pPr>
        <w:pStyle w:val="Heading2"/>
      </w:pPr>
      <w:r>
        <w:rPr>
          <w:color w:val="111418"/>
        </w:rPr>
        <w:t>5.1. Layers</w:t>
      </w:r>
    </w:p>
    <w:p>
      <w:pPr>
        <w:pStyle w:val="ListBullet"/>
      </w:pPr>
      <w:r>
        <w:t>Web2 platform core — catalog, search, recommendations</w:t>
      </w:r>
    </w:p>
    <w:p>
      <w:pPr>
        <w:pStyle w:val="ListBullet"/>
      </w:pPr>
      <w:r>
        <w:t>Web3 utility layer — payments, staking, rewards treasury, governance</w:t>
      </w:r>
    </w:p>
    <w:p>
      <w:pPr>
        <w:pStyle w:val="ListBullet"/>
      </w:pPr>
      <w:r>
        <w:t>AI orchestration layer — routing and workflow execution</w:t>
      </w:r>
    </w:p>
    <w:p>
      <w:pPr>
        <w:pStyle w:val="Heading2"/>
      </w:pPr>
      <w:r>
        <w:rPr>
          <w:color w:val="111418"/>
        </w:rPr>
        <w:t>5.2. Why Base</w:t>
      </w:r>
    </w:p>
    <w:p>
      <w:r>
        <w:rPr>
          <w:i w:val="0"/>
        </w:rPr>
        <w:t>TCA is deployed as an ERC-20 token on Base, chosen for low fees, Ethereum-grade security, fast finality, simple onboarding and strong support for consumer-oriented applications. Multichain expansion is planned later.</w:t>
      </w:r>
    </w:p>
    <w:p>
      <w:pPr>
        <w:pStyle w:val="Heading2"/>
      </w:pPr>
      <w:r>
        <w:rPr>
          <w:color w:val="111418"/>
        </w:rPr>
        <w:t>5.3. On-chain components</w:t>
      </w:r>
    </w:p>
    <w:p>
      <w:pPr>
        <w:pStyle w:val="ListBullet"/>
      </w:pPr>
      <w:r>
        <w:t>TCA Token Contract</w:t>
      </w:r>
    </w:p>
    <w:p>
      <w:pPr>
        <w:pStyle w:val="ListBullet"/>
      </w:pPr>
      <w:r>
        <w:t>Vesting Contracts</w:t>
      </w:r>
    </w:p>
    <w:p>
      <w:pPr>
        <w:pStyle w:val="ListBullet"/>
      </w:pPr>
      <w:r>
        <w:t>Staking Contract</w:t>
      </w:r>
    </w:p>
    <w:p>
      <w:pPr>
        <w:pStyle w:val="ListBullet"/>
      </w:pPr>
      <w:r>
        <w:t>Rewards Distribution Contract</w:t>
      </w:r>
    </w:p>
    <w:p>
      <w:pPr>
        <w:pStyle w:val="ListBullet"/>
      </w:pPr>
      <w:r>
        <w:t>Governance Module</w:t>
      </w:r>
    </w:p>
    <w:p>
      <w:pPr>
        <w:pStyle w:val="ListBullet"/>
      </w:pPr>
      <w:r>
        <w:t>Multisig Treasury wallets</w:t>
      </w:r>
    </w:p>
    <w:p>
      <w:pPr>
        <w:pStyle w:val="Heading2"/>
      </w:pPr>
      <w:r>
        <w:rPr>
          <w:color w:val="111418"/>
        </w:rPr>
        <w:t>5.4. Security</w:t>
      </w:r>
    </w:p>
    <w:p>
      <w:pPr>
        <w:pStyle w:val="ListBullet"/>
      </w:pPr>
      <w:r>
        <w:t>Independent smart-contract audits before TGE</w:t>
      </w:r>
    </w:p>
    <w:p>
      <w:pPr>
        <w:pStyle w:val="ListBullet"/>
      </w:pPr>
      <w:r>
        <w:t>Multisig-controlled treasury</w:t>
      </w:r>
    </w:p>
    <w:p>
      <w:pPr>
        <w:pStyle w:val="ListBullet"/>
      </w:pPr>
      <w:r>
        <w:t>Role-based access control</w:t>
      </w:r>
    </w:p>
    <w:p>
      <w:pPr>
        <w:pStyle w:val="ListBullet"/>
      </w:pPr>
      <w:r>
        <w:t>Anti-abuse logic for rewards &amp; reviews</w:t>
      </w:r>
    </w:p>
    <w:p>
      <w:pPr>
        <w:pStyle w:val="ListBullet"/>
      </w:pPr>
      <w:r>
        <w:t>Bug bounty program</w:t>
      </w:r>
    </w:p>
    <w:p>
      <w:pPr>
        <w:pStyle w:val="Heading1"/>
      </w:pPr>
      <w:r>
        <w:rPr>
          <w:color w:val="F59E0B"/>
        </w:rPr>
        <w:t>6. Token Utility &amp; Tokenomics</w:t>
      </w:r>
    </w:p>
    <w:p>
      <w:pPr>
        <w:pStyle w:val="Heading2"/>
      </w:pPr>
      <w:r>
        <w:rPr>
          <w:color w:val="111418"/>
        </w:rPr>
        <w:t>6.1. Token parameters</w:t>
      </w:r>
    </w:p>
    <w:tbl>
      <w:tblPr>
        <w:tblStyle w:val="TableGrid"/>
        <w:tblW w:type="auto" w:w="0"/>
        <w:jc w:val="center"/>
        <w:tblLook w:firstColumn="1" w:firstRow="1" w:lastColumn="0" w:lastRow="0" w:noHBand="0" w:noVBand="1" w:val="04A0"/>
      </w:tblPr>
      <w:tblGrid>
        <w:gridCol w:w="4320"/>
        <w:gridCol w:w="4320"/>
      </w:tblGrid>
      <w:tr>
        <w:tc>
          <w:tcPr>
            <w:tcW w:type="dxa" w:w="4320"/>
            <w:shd w:val="clear" w:fill="F59E0B"/>
          </w:tcPr>
          <w:p>
            <w:r/>
            <w:r>
              <w:rPr>
                <w:b/>
                <w:color w:val="FFFFFF"/>
              </w:rPr>
              <w:t>Parameter</w:t>
            </w:r>
          </w:p>
        </w:tc>
        <w:tc>
          <w:tcPr>
            <w:tcW w:type="dxa" w:w="4320"/>
            <w:shd w:val="clear" w:fill="F59E0B"/>
          </w:tcPr>
          <w:p>
            <w:r/>
            <w:r>
              <w:rPr>
                <w:b/>
                <w:color w:val="FFFFFF"/>
              </w:rPr>
              <w:t>Value</w:t>
            </w:r>
          </w:p>
        </w:tc>
      </w:tr>
      <w:tr>
        <w:tc>
          <w:tcPr>
            <w:tcW w:type="dxa" w:w="4320"/>
          </w:tcPr>
          <w:p>
            <w:r>
              <w:t>Token name</w:t>
            </w:r>
          </w:p>
        </w:tc>
        <w:tc>
          <w:tcPr>
            <w:tcW w:type="dxa" w:w="4320"/>
          </w:tcPr>
          <w:p>
            <w:r>
              <w:t>TechCoinAgent</w:t>
            </w:r>
          </w:p>
        </w:tc>
      </w:tr>
      <w:tr>
        <w:tc>
          <w:tcPr>
            <w:tcW w:type="dxa" w:w="4320"/>
          </w:tcPr>
          <w:p>
            <w:r>
              <w:t>Ticker</w:t>
            </w:r>
          </w:p>
        </w:tc>
        <w:tc>
          <w:tcPr>
            <w:tcW w:type="dxa" w:w="4320"/>
          </w:tcPr>
          <w:p>
            <w:r>
              <w:t>TCA</w:t>
            </w:r>
          </w:p>
        </w:tc>
      </w:tr>
      <w:tr>
        <w:tc>
          <w:tcPr>
            <w:tcW w:type="dxa" w:w="4320"/>
          </w:tcPr>
          <w:p>
            <w:r>
              <w:t>Standard</w:t>
            </w:r>
          </w:p>
        </w:tc>
        <w:tc>
          <w:tcPr>
            <w:tcW w:type="dxa" w:w="4320"/>
          </w:tcPr>
          <w:p>
            <w:r>
              <w:t>ERC-20</w:t>
            </w:r>
          </w:p>
        </w:tc>
      </w:tr>
      <w:tr>
        <w:tc>
          <w:tcPr>
            <w:tcW w:type="dxa" w:w="4320"/>
          </w:tcPr>
          <w:p>
            <w:r>
              <w:t>Network</w:t>
            </w:r>
          </w:p>
        </w:tc>
        <w:tc>
          <w:tcPr>
            <w:tcW w:type="dxa" w:w="4320"/>
          </w:tcPr>
          <w:p>
            <w:r>
              <w:t>Base</w:t>
            </w:r>
          </w:p>
        </w:tc>
      </w:tr>
      <w:tr>
        <w:tc>
          <w:tcPr>
            <w:tcW w:type="dxa" w:w="4320"/>
          </w:tcPr>
          <w:p>
            <w:r>
              <w:t>Decimals</w:t>
            </w:r>
          </w:p>
        </w:tc>
        <w:tc>
          <w:tcPr>
            <w:tcW w:type="dxa" w:w="4320"/>
          </w:tcPr>
          <w:p>
            <w:r>
              <w:t>18</w:t>
            </w:r>
          </w:p>
        </w:tc>
      </w:tr>
      <w:tr>
        <w:tc>
          <w:tcPr>
            <w:tcW w:type="dxa" w:w="4320"/>
          </w:tcPr>
          <w:p>
            <w:r>
              <w:t>Total supply</w:t>
            </w:r>
          </w:p>
        </w:tc>
        <w:tc>
          <w:tcPr>
            <w:tcW w:type="dxa" w:w="4320"/>
          </w:tcPr>
          <w:p>
            <w:r>
              <w:t>1,000,000,000 TCA</w:t>
            </w:r>
          </w:p>
        </w:tc>
      </w:tr>
      <w:tr>
        <w:tc>
          <w:tcPr>
            <w:tcW w:type="dxa" w:w="4320"/>
          </w:tcPr>
          <w:p>
            <w:r>
              <w:t>Contract</w:t>
            </w:r>
          </w:p>
        </w:tc>
        <w:tc>
          <w:tcPr>
            <w:tcW w:type="dxa" w:w="4320"/>
          </w:tcPr>
          <w:p>
            <w:r>
              <w:t>0x0F81294C2549D1CabAc3ecBbd0d21e2d073F2309</w:t>
            </w:r>
          </w:p>
        </w:tc>
      </w:tr>
    </w:tbl>
    <w:p/>
    <w:p>
      <w:pPr>
        <w:pStyle w:val="Heading2"/>
      </w:pPr>
      <w:r>
        <w:rPr>
          <w:color w:val="111418"/>
        </w:rPr>
        <w:t>6.2. Utility</w:t>
      </w:r>
    </w:p>
    <w:p>
      <w:pPr>
        <w:pStyle w:val="ListBullet"/>
      </w:pPr>
      <w:r>
        <w:t>Platform Access: Pay for premium features and expanded access across TECHAGENT.</w:t>
      </w:r>
    </w:p>
    <w:p>
      <w:pPr>
        <w:pStyle w:val="ListBullet"/>
      </w:pPr>
      <w:r>
        <w:t>AI Agents &amp; Workflows: Pay to run AI agents and automation templates from the marketplace.</w:t>
      </w:r>
    </w:p>
    <w:p>
      <w:pPr>
        <w:pStyle w:val="ListBullet"/>
      </w:pPr>
      <w:r>
        <w:t>Staking: Stake TCA for discounts and expanded service access.</w:t>
      </w:r>
    </w:p>
    <w:p>
      <w:pPr>
        <w:pStyle w:val="ListBullet"/>
      </w:pPr>
      <w:r>
        <w:t>Governance: Vote on platform development and ecosystem parameters.</w:t>
      </w:r>
    </w:p>
    <w:p>
      <w:pPr>
        <w:pStyle w:val="ListBullet"/>
      </w:pPr>
      <w:r>
        <w:t>Community Rewards: Earn for reviews, data contributions and catalog curation.</w:t>
      </w:r>
    </w:p>
    <w:p>
      <w:pPr>
        <w:pStyle w:val="ListBullet"/>
      </w:pPr>
      <w:r>
        <w:t>Review Curators: Incentives for maintaining data quality and accuracy.</w:t>
      </w:r>
    </w:p>
    <w:p>
      <w:pPr>
        <w:pStyle w:val="ListBullet"/>
      </w:pPr>
      <w:r>
        <w:t>B2B / API: Access to enterprise programs, routing and API integrations.</w:t>
      </w:r>
    </w:p>
    <w:p>
      <w:pPr>
        <w:pStyle w:val="Heading2"/>
      </w:pPr>
      <w:r>
        <w:rPr>
          <w:color w:val="111418"/>
        </w:rPr>
        <w:t>6.3. Token allocation</w:t>
      </w:r>
    </w:p>
    <w:p>
      <w:r>
        <w:drawing>
          <wp:inline xmlns:a="http://schemas.openxmlformats.org/drawingml/2006/main" xmlns:pic="http://schemas.openxmlformats.org/drawingml/2006/picture">
            <wp:extent cx="5486400" cy="3600450"/>
            <wp:docPr id="2" name="Picture 2"/>
            <wp:cNvGraphicFramePr>
              <a:graphicFrameLocks noChangeAspect="1"/>
            </wp:cNvGraphicFramePr>
            <a:graphic>
              <a:graphicData uri="http://schemas.openxmlformats.org/drawingml/2006/picture">
                <pic:pic>
                  <pic:nvPicPr>
                    <pic:cNvPr id="0" name="alloc.png"/>
                    <pic:cNvPicPr/>
                  </pic:nvPicPr>
                  <pic:blipFill>
                    <a:blip r:embed="rId10"/>
                    <a:stretch>
                      <a:fillRect/>
                    </a:stretch>
                  </pic:blipFill>
                  <pic:spPr>
                    <a:xfrm>
                      <a:off x="0" y="0"/>
                      <a:ext cx="5486400" cy="3600450"/>
                    </a:xfrm>
                    <a:prstGeom prst="rect"/>
                  </pic:spPr>
                </pic:pic>
              </a:graphicData>
            </a:graphic>
          </wp:inline>
        </w:drawing>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fill="F59E0B"/>
          </w:tcPr>
          <w:p>
            <w:r/>
            <w:r>
              <w:rPr>
                <w:b/>
                <w:color w:val="FFFFFF"/>
              </w:rPr>
              <w:t>Category</w:t>
            </w:r>
          </w:p>
        </w:tc>
        <w:tc>
          <w:tcPr>
            <w:tcW w:type="dxa" w:w="2880"/>
            <w:shd w:val="clear" w:fill="F59E0B"/>
          </w:tcPr>
          <w:p>
            <w:r/>
            <w:r>
              <w:rPr>
                <w:b/>
                <w:color w:val="FFFFFF"/>
              </w:rPr>
              <w:t>Share</w:t>
            </w:r>
          </w:p>
        </w:tc>
        <w:tc>
          <w:tcPr>
            <w:tcW w:type="dxa" w:w="2880"/>
            <w:shd w:val="clear" w:fill="F59E0B"/>
          </w:tcPr>
          <w:p>
            <w:r/>
            <w:r>
              <w:rPr>
                <w:b/>
                <w:color w:val="FFFFFF"/>
              </w:rPr>
              <w:t>Tokens</w:t>
            </w:r>
          </w:p>
        </w:tc>
      </w:tr>
      <w:tr>
        <w:tc>
          <w:tcPr>
            <w:tcW w:type="dxa" w:w="2880"/>
          </w:tcPr>
          <w:p>
            <w:r>
              <w:t>Public Sale / ICO</w:t>
            </w:r>
          </w:p>
        </w:tc>
        <w:tc>
          <w:tcPr>
            <w:tcW w:type="dxa" w:w="2880"/>
          </w:tcPr>
          <w:p>
            <w:r>
              <w:t>18%</w:t>
            </w:r>
          </w:p>
        </w:tc>
        <w:tc>
          <w:tcPr>
            <w:tcW w:type="dxa" w:w="2880"/>
          </w:tcPr>
          <w:p>
            <w:r>
              <w:t>180,000,000</w:t>
            </w:r>
          </w:p>
        </w:tc>
      </w:tr>
      <w:tr>
        <w:tc>
          <w:tcPr>
            <w:tcW w:type="dxa" w:w="2880"/>
          </w:tcPr>
          <w:p>
            <w:r>
              <w:t>Ecosystem &amp; Rewards</w:t>
            </w:r>
          </w:p>
        </w:tc>
        <w:tc>
          <w:tcPr>
            <w:tcW w:type="dxa" w:w="2880"/>
          </w:tcPr>
          <w:p>
            <w:r>
              <w:t>22%</w:t>
            </w:r>
          </w:p>
        </w:tc>
        <w:tc>
          <w:tcPr>
            <w:tcW w:type="dxa" w:w="2880"/>
          </w:tcPr>
          <w:p>
            <w:r>
              <w:t>220,000,000</w:t>
            </w:r>
          </w:p>
        </w:tc>
      </w:tr>
      <w:tr>
        <w:tc>
          <w:tcPr>
            <w:tcW w:type="dxa" w:w="2880"/>
          </w:tcPr>
          <w:p>
            <w:r>
              <w:t>Treasury / Reserve</w:t>
            </w:r>
          </w:p>
        </w:tc>
        <w:tc>
          <w:tcPr>
            <w:tcW w:type="dxa" w:w="2880"/>
          </w:tcPr>
          <w:p>
            <w:r>
              <w:t>15%</w:t>
            </w:r>
          </w:p>
        </w:tc>
        <w:tc>
          <w:tcPr>
            <w:tcW w:type="dxa" w:w="2880"/>
          </w:tcPr>
          <w:p>
            <w:r>
              <w:t>150,000,000</w:t>
            </w:r>
          </w:p>
        </w:tc>
      </w:tr>
      <w:tr>
        <w:tc>
          <w:tcPr>
            <w:tcW w:type="dxa" w:w="2880"/>
          </w:tcPr>
          <w:p>
            <w:r>
              <w:t>Team</w:t>
            </w:r>
          </w:p>
        </w:tc>
        <w:tc>
          <w:tcPr>
            <w:tcW w:type="dxa" w:w="2880"/>
          </w:tcPr>
          <w:p>
            <w:r>
              <w:t>15%</w:t>
            </w:r>
          </w:p>
        </w:tc>
        <w:tc>
          <w:tcPr>
            <w:tcW w:type="dxa" w:w="2880"/>
          </w:tcPr>
          <w:p>
            <w:r>
              <w:t>150,000,000</w:t>
            </w:r>
          </w:p>
        </w:tc>
      </w:tr>
      <w:tr>
        <w:tc>
          <w:tcPr>
            <w:tcW w:type="dxa" w:w="2880"/>
          </w:tcPr>
          <w:p>
            <w:r>
              <w:t>Strategic Partners</w:t>
            </w:r>
          </w:p>
        </w:tc>
        <w:tc>
          <w:tcPr>
            <w:tcW w:type="dxa" w:w="2880"/>
          </w:tcPr>
          <w:p>
            <w:r>
              <w:t>8%</w:t>
            </w:r>
          </w:p>
        </w:tc>
        <w:tc>
          <w:tcPr>
            <w:tcW w:type="dxa" w:w="2880"/>
          </w:tcPr>
          <w:p>
            <w:r>
              <w:t>80,000,000</w:t>
            </w:r>
          </w:p>
        </w:tc>
      </w:tr>
      <w:tr>
        <w:tc>
          <w:tcPr>
            <w:tcW w:type="dxa" w:w="2880"/>
          </w:tcPr>
          <w:p>
            <w:r>
              <w:t>Advisors</w:t>
            </w:r>
          </w:p>
        </w:tc>
        <w:tc>
          <w:tcPr>
            <w:tcW w:type="dxa" w:w="2880"/>
          </w:tcPr>
          <w:p>
            <w:r>
              <w:t>4%</w:t>
            </w:r>
          </w:p>
        </w:tc>
        <w:tc>
          <w:tcPr>
            <w:tcW w:type="dxa" w:w="2880"/>
          </w:tcPr>
          <w:p>
            <w:r>
              <w:t>40,000,000</w:t>
            </w:r>
          </w:p>
        </w:tc>
      </w:tr>
      <w:tr>
        <w:tc>
          <w:tcPr>
            <w:tcW w:type="dxa" w:w="2880"/>
          </w:tcPr>
          <w:p>
            <w:r>
              <w:t>Marketing &amp; Community</w:t>
            </w:r>
          </w:p>
        </w:tc>
        <w:tc>
          <w:tcPr>
            <w:tcW w:type="dxa" w:w="2880"/>
          </w:tcPr>
          <w:p>
            <w:r>
              <w:t>10%</w:t>
            </w:r>
          </w:p>
        </w:tc>
        <w:tc>
          <w:tcPr>
            <w:tcW w:type="dxa" w:w="2880"/>
          </w:tcPr>
          <w:p>
            <w:r>
              <w:t>100,000,000</w:t>
            </w:r>
          </w:p>
        </w:tc>
      </w:tr>
      <w:tr>
        <w:tc>
          <w:tcPr>
            <w:tcW w:type="dxa" w:w="2880"/>
          </w:tcPr>
          <w:p>
            <w:r>
              <w:t>Liquidity / Market Making</w:t>
            </w:r>
          </w:p>
        </w:tc>
        <w:tc>
          <w:tcPr>
            <w:tcW w:type="dxa" w:w="2880"/>
          </w:tcPr>
          <w:p>
            <w:r>
              <w:t>8%</w:t>
            </w:r>
          </w:p>
        </w:tc>
        <w:tc>
          <w:tcPr>
            <w:tcW w:type="dxa" w:w="2880"/>
          </w:tcPr>
          <w:p>
            <w:r>
              <w:t>80,000,000</w:t>
            </w:r>
          </w:p>
        </w:tc>
      </w:tr>
    </w:tbl>
    <w:p/>
    <w:p>
      <w:pPr>
        <w:pStyle w:val="Heading2"/>
      </w:pPr>
      <w:r>
        <w:rPr>
          <w:color w:val="111418"/>
        </w:rPr>
        <w:t>6.4. Vesting schedule</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shd w:val="clear" w:fill="F59E0B"/>
          </w:tcPr>
          <w:p>
            <w:r/>
            <w:r>
              <w:rPr>
                <w:b/>
                <w:color w:val="FFFFFF"/>
              </w:rPr>
              <w:t>Category</w:t>
            </w:r>
          </w:p>
        </w:tc>
        <w:tc>
          <w:tcPr>
            <w:tcW w:type="dxa" w:w="2160"/>
            <w:shd w:val="clear" w:fill="F59E0B"/>
          </w:tcPr>
          <w:p>
            <w:r/>
            <w:r>
              <w:rPr>
                <w:b/>
                <w:color w:val="FFFFFF"/>
              </w:rPr>
              <w:t>At TGE</w:t>
            </w:r>
          </w:p>
        </w:tc>
        <w:tc>
          <w:tcPr>
            <w:tcW w:type="dxa" w:w="2160"/>
            <w:shd w:val="clear" w:fill="F59E0B"/>
          </w:tcPr>
          <w:p>
            <w:r/>
            <w:r>
              <w:rPr>
                <w:b/>
                <w:color w:val="FFFFFF"/>
              </w:rPr>
              <w:t>Cliff</w:t>
            </w:r>
          </w:p>
        </w:tc>
        <w:tc>
          <w:tcPr>
            <w:tcW w:type="dxa" w:w="2160"/>
            <w:shd w:val="clear" w:fill="F59E0B"/>
          </w:tcPr>
          <w:p>
            <w:r/>
            <w:r>
              <w:rPr>
                <w:b/>
                <w:color w:val="FFFFFF"/>
              </w:rPr>
              <w:t>Unlock</w:t>
            </w:r>
          </w:p>
        </w:tc>
      </w:tr>
      <w:tr>
        <w:tc>
          <w:tcPr>
            <w:tcW w:type="dxa" w:w="2160"/>
          </w:tcPr>
          <w:p>
            <w:r>
              <w:t>Public Sale</w:t>
            </w:r>
          </w:p>
        </w:tc>
        <w:tc>
          <w:tcPr>
            <w:tcW w:type="dxa" w:w="2160"/>
          </w:tcPr>
          <w:p>
            <w:r>
              <w:t>20%</w:t>
            </w:r>
          </w:p>
        </w:tc>
        <w:tc>
          <w:tcPr>
            <w:tcW w:type="dxa" w:w="2160"/>
          </w:tcPr>
          <w:p>
            <w:r>
              <w:t>—</w:t>
            </w:r>
          </w:p>
        </w:tc>
        <w:tc>
          <w:tcPr>
            <w:tcW w:type="dxa" w:w="2160"/>
          </w:tcPr>
          <w:p>
            <w:r>
              <w:t>Linear over 6 months</w:t>
            </w:r>
          </w:p>
        </w:tc>
      </w:tr>
      <w:tr>
        <w:tc>
          <w:tcPr>
            <w:tcW w:type="dxa" w:w="2160"/>
          </w:tcPr>
          <w:p>
            <w:r>
              <w:t>Team</w:t>
            </w:r>
          </w:p>
        </w:tc>
        <w:tc>
          <w:tcPr>
            <w:tcW w:type="dxa" w:w="2160"/>
          </w:tcPr>
          <w:p>
            <w:r>
              <w:t>0%</w:t>
            </w:r>
          </w:p>
        </w:tc>
        <w:tc>
          <w:tcPr>
            <w:tcW w:type="dxa" w:w="2160"/>
          </w:tcPr>
          <w:p>
            <w:r>
              <w:t>12 months</w:t>
            </w:r>
          </w:p>
        </w:tc>
        <w:tc>
          <w:tcPr>
            <w:tcW w:type="dxa" w:w="2160"/>
          </w:tcPr>
          <w:p>
            <w:r>
              <w:t>Linear over 24 months</w:t>
            </w:r>
          </w:p>
        </w:tc>
      </w:tr>
      <w:tr>
        <w:tc>
          <w:tcPr>
            <w:tcW w:type="dxa" w:w="2160"/>
          </w:tcPr>
          <w:p>
            <w:r>
              <w:t>Advisors</w:t>
            </w:r>
          </w:p>
        </w:tc>
        <w:tc>
          <w:tcPr>
            <w:tcW w:type="dxa" w:w="2160"/>
          </w:tcPr>
          <w:p>
            <w:r>
              <w:t>0%</w:t>
            </w:r>
          </w:p>
        </w:tc>
        <w:tc>
          <w:tcPr>
            <w:tcW w:type="dxa" w:w="2160"/>
          </w:tcPr>
          <w:p>
            <w:r>
              <w:t>6 months</w:t>
            </w:r>
          </w:p>
        </w:tc>
        <w:tc>
          <w:tcPr>
            <w:tcW w:type="dxa" w:w="2160"/>
          </w:tcPr>
          <w:p>
            <w:r>
              <w:t>Linear over 12 months</w:t>
            </w:r>
          </w:p>
        </w:tc>
      </w:tr>
      <w:tr>
        <w:tc>
          <w:tcPr>
            <w:tcW w:type="dxa" w:w="2160"/>
          </w:tcPr>
          <w:p>
            <w:r>
              <w:t>Strategic Partners</w:t>
            </w:r>
          </w:p>
        </w:tc>
        <w:tc>
          <w:tcPr>
            <w:tcW w:type="dxa" w:w="2160"/>
          </w:tcPr>
          <w:p>
            <w:r>
              <w:t>0%</w:t>
            </w:r>
          </w:p>
        </w:tc>
        <w:tc>
          <w:tcPr>
            <w:tcW w:type="dxa" w:w="2160"/>
          </w:tcPr>
          <w:p>
            <w:r>
              <w:t>3 months</w:t>
            </w:r>
          </w:p>
        </w:tc>
        <w:tc>
          <w:tcPr>
            <w:tcW w:type="dxa" w:w="2160"/>
          </w:tcPr>
          <w:p>
            <w:r>
              <w:t>Linear over 12 months</w:t>
            </w:r>
          </w:p>
        </w:tc>
      </w:tr>
      <w:tr>
        <w:tc>
          <w:tcPr>
            <w:tcW w:type="dxa" w:w="2160"/>
          </w:tcPr>
          <w:p>
            <w:r>
              <w:t>Marketing &amp; Community</w:t>
            </w:r>
          </w:p>
        </w:tc>
        <w:tc>
          <w:tcPr>
            <w:tcW w:type="dxa" w:w="2160"/>
          </w:tcPr>
          <w:p>
            <w:r>
              <w:t>Partial</w:t>
            </w:r>
          </w:p>
        </w:tc>
        <w:tc>
          <w:tcPr>
            <w:tcW w:type="dxa" w:w="2160"/>
          </w:tcPr>
          <w:p>
            <w:r>
              <w:t>—</w:t>
            </w:r>
          </w:p>
        </w:tc>
        <w:tc>
          <w:tcPr>
            <w:tcW w:type="dxa" w:w="2160"/>
          </w:tcPr>
          <w:p>
            <w:r>
              <w:t>24 months</w:t>
            </w:r>
          </w:p>
        </w:tc>
      </w:tr>
      <w:tr>
        <w:tc>
          <w:tcPr>
            <w:tcW w:type="dxa" w:w="2160"/>
          </w:tcPr>
          <w:p>
            <w:r>
              <w:t>Ecosystem &amp; Rewards</w:t>
            </w:r>
          </w:p>
        </w:tc>
        <w:tc>
          <w:tcPr>
            <w:tcW w:type="dxa" w:w="2160"/>
          </w:tcPr>
          <w:p>
            <w:r>
              <w:t>Partial</w:t>
            </w:r>
          </w:p>
        </w:tc>
        <w:tc>
          <w:tcPr>
            <w:tcW w:type="dxa" w:w="2160"/>
          </w:tcPr>
          <w:p>
            <w:r>
              <w:t>—</w:t>
            </w:r>
          </w:p>
        </w:tc>
        <w:tc>
          <w:tcPr>
            <w:tcW w:type="dxa" w:w="2160"/>
          </w:tcPr>
          <w:p>
            <w:r>
              <w:t>48 months (KPI-based)</w:t>
            </w:r>
          </w:p>
        </w:tc>
      </w:tr>
      <w:tr>
        <w:tc>
          <w:tcPr>
            <w:tcW w:type="dxa" w:w="2160"/>
          </w:tcPr>
          <w:p>
            <w:r>
              <w:t>Treasury</w:t>
            </w:r>
          </w:p>
        </w:tc>
        <w:tc>
          <w:tcPr>
            <w:tcW w:type="dxa" w:w="2160"/>
          </w:tcPr>
          <w:p>
            <w:r>
              <w:t>By governance</w:t>
            </w:r>
          </w:p>
        </w:tc>
        <w:tc>
          <w:tcPr>
            <w:tcW w:type="dxa" w:w="2160"/>
          </w:tcPr>
          <w:p>
            <w:r>
              <w:t>N/A</w:t>
            </w:r>
          </w:p>
        </w:tc>
        <w:tc>
          <w:tcPr>
            <w:tcW w:type="dxa" w:w="2160"/>
          </w:tcPr>
          <w:p>
            <w:r>
              <w:t>Unlocked by vote</w:t>
            </w:r>
          </w:p>
        </w:tc>
      </w:tr>
    </w:tbl>
    <w:p/>
    <w:p>
      <w:pPr>
        <w:pStyle w:val="Heading2"/>
      </w:pPr>
      <w:r>
        <w:rPr>
          <w:color w:val="111418"/>
        </w:rPr>
        <w:t>6.5. Deflationary model</w:t>
      </w:r>
    </w:p>
    <w:p>
      <w:r>
        <w:rPr>
          <w:i w:val="0"/>
        </w:rPr>
        <w:t>Platform fees paid in TCA are redistributed as follows:</w:t>
      </w:r>
    </w:p>
    <w:p>
      <w:pPr>
        <w:pStyle w:val="ListBullet"/>
      </w:pPr>
      <w:r>
        <w:t>Buyback &amp; Burn — 20%</w:t>
      </w:r>
    </w:p>
    <w:p>
      <w:pPr>
        <w:pStyle w:val="ListBullet"/>
      </w:pPr>
      <w:r>
        <w:t>Treasury — 30%</w:t>
      </w:r>
    </w:p>
    <w:p>
      <w:pPr>
        <w:pStyle w:val="ListBullet"/>
      </w:pPr>
      <w:r>
        <w:t>Ecosystem Rewards — 30%</w:t>
      </w:r>
    </w:p>
    <w:p>
      <w:pPr>
        <w:pStyle w:val="ListBullet"/>
      </w:pPr>
      <w:r>
        <w:t>Liquidity &amp; Market Operations — 20%</w:t>
      </w:r>
    </w:p>
    <w:p>
      <w:r>
        <w:drawing>
          <wp:inline xmlns:a="http://schemas.openxmlformats.org/drawingml/2006/main" xmlns:pic="http://schemas.openxmlformats.org/drawingml/2006/picture">
            <wp:extent cx="4754880" cy="3120390"/>
            <wp:docPr id="3" name="Picture 3"/>
            <wp:cNvGraphicFramePr>
              <a:graphicFrameLocks noChangeAspect="1"/>
            </wp:cNvGraphicFramePr>
            <a:graphic>
              <a:graphicData uri="http://schemas.openxmlformats.org/drawingml/2006/picture">
                <pic:pic>
                  <pic:nvPicPr>
                    <pic:cNvPr id="0" name="deflation.png"/>
                    <pic:cNvPicPr/>
                  </pic:nvPicPr>
                  <pic:blipFill>
                    <a:blip r:embed="rId11"/>
                    <a:stretch>
                      <a:fillRect/>
                    </a:stretch>
                  </pic:blipFill>
                  <pic:spPr>
                    <a:xfrm>
                      <a:off x="0" y="0"/>
                      <a:ext cx="4754880" cy="3120390"/>
                    </a:xfrm>
                    <a:prstGeom prst="rect"/>
                  </pic:spPr>
                </pic:pic>
              </a:graphicData>
            </a:graphic>
          </wp:inline>
        </w:drawing>
      </w:r>
    </w:p>
    <w:p>
      <w:pPr>
        <w:pStyle w:val="Heading1"/>
      </w:pPr>
      <w:r>
        <w:rPr>
          <w:color w:val="F59E0B"/>
        </w:rPr>
        <w:t>7. ICO Parameters</w:t>
      </w:r>
    </w:p>
    <w:p>
      <w:r>
        <w:rPr>
          <w:i/>
          <w:color w:val="996600"/>
        </w:rPr>
        <w:t>All sale figures are preliminary and may change.</w:t>
      </w:r>
    </w:p>
    <w:tbl>
      <w:tblPr>
        <w:tblStyle w:val="TableGrid"/>
        <w:tblW w:type="auto" w:w="0"/>
        <w:jc w:val="center"/>
        <w:tblLook w:firstColumn="1" w:firstRow="1" w:lastColumn="0" w:lastRow="0" w:noHBand="0" w:noVBand="1" w:val="04A0"/>
      </w:tblPr>
      <w:tblGrid>
        <w:gridCol w:w="4320"/>
        <w:gridCol w:w="4320"/>
      </w:tblGrid>
      <w:tr>
        <w:tc>
          <w:tcPr>
            <w:tcW w:type="dxa" w:w="4320"/>
            <w:shd w:val="clear" w:fill="F59E0B"/>
          </w:tcPr>
          <w:p>
            <w:r/>
            <w:r>
              <w:rPr>
                <w:b/>
                <w:color w:val="FFFFFF"/>
              </w:rPr>
              <w:t>Parameter</w:t>
            </w:r>
          </w:p>
        </w:tc>
        <w:tc>
          <w:tcPr>
            <w:tcW w:type="dxa" w:w="4320"/>
            <w:shd w:val="clear" w:fill="F59E0B"/>
          </w:tcPr>
          <w:p>
            <w:r/>
            <w:r>
              <w:rPr>
                <w:b/>
                <w:color w:val="FFFFFF"/>
              </w:rPr>
              <w:t>Value</w:t>
            </w:r>
          </w:p>
        </w:tc>
      </w:tr>
      <w:tr>
        <w:tc>
          <w:tcPr>
            <w:tcW w:type="dxa" w:w="4320"/>
          </w:tcPr>
          <w:p>
            <w:r>
              <w:t>Public Sale Price</w:t>
            </w:r>
          </w:p>
        </w:tc>
        <w:tc>
          <w:tcPr>
            <w:tcW w:type="dxa" w:w="4320"/>
          </w:tcPr>
          <w:p>
            <w:r>
              <w:t>$0.020 per TCA</w:t>
            </w:r>
          </w:p>
        </w:tc>
      </w:tr>
      <w:tr>
        <w:tc>
          <w:tcPr>
            <w:tcW w:type="dxa" w:w="4320"/>
          </w:tcPr>
          <w:p>
            <w:r>
              <w:t>Public Sale Amount</w:t>
            </w:r>
          </w:p>
        </w:tc>
        <w:tc>
          <w:tcPr>
            <w:tcW w:type="dxa" w:w="4320"/>
          </w:tcPr>
          <w:p>
            <w:r>
              <w:t>180,000,000 TCA</w:t>
            </w:r>
          </w:p>
        </w:tc>
      </w:tr>
      <w:tr>
        <w:tc>
          <w:tcPr>
            <w:tcW w:type="dxa" w:w="4320"/>
          </w:tcPr>
          <w:p>
            <w:r>
              <w:t>Soft Cap</w:t>
            </w:r>
          </w:p>
        </w:tc>
        <w:tc>
          <w:tcPr>
            <w:tcW w:type="dxa" w:w="4320"/>
          </w:tcPr>
          <w:p>
            <w:r>
              <w:t>$1,500,000</w:t>
            </w:r>
          </w:p>
        </w:tc>
      </w:tr>
      <w:tr>
        <w:tc>
          <w:tcPr>
            <w:tcW w:type="dxa" w:w="4320"/>
          </w:tcPr>
          <w:p>
            <w:r>
              <w:t>Hard Cap</w:t>
            </w:r>
          </w:p>
        </w:tc>
        <w:tc>
          <w:tcPr>
            <w:tcW w:type="dxa" w:w="4320"/>
          </w:tcPr>
          <w:p>
            <w:r>
              <w:t>$3,600,000</w:t>
            </w:r>
          </w:p>
        </w:tc>
      </w:tr>
      <w:tr>
        <w:tc>
          <w:tcPr>
            <w:tcW w:type="dxa" w:w="4320"/>
          </w:tcPr>
          <w:p>
            <w:r>
              <w:t>Circulating at TGE</w:t>
            </w:r>
          </w:p>
        </w:tc>
        <w:tc>
          <w:tcPr>
            <w:tcW w:type="dxa" w:w="4320"/>
          </w:tcPr>
          <w:p>
            <w:r>
              <w:t>~150,000,000 TCA (15%)</w:t>
            </w:r>
          </w:p>
        </w:tc>
      </w:tr>
      <w:tr>
        <w:tc>
          <w:tcPr>
            <w:tcW w:type="dxa" w:w="4320"/>
          </w:tcPr>
          <w:p>
            <w:r>
              <w:t>Initial Market Cap</w:t>
            </w:r>
          </w:p>
        </w:tc>
        <w:tc>
          <w:tcPr>
            <w:tcW w:type="dxa" w:w="4320"/>
          </w:tcPr>
          <w:p>
            <w:r>
              <w:t>~$3,000,000</w:t>
            </w:r>
          </w:p>
        </w:tc>
      </w:tr>
      <w:tr>
        <w:tc>
          <w:tcPr>
            <w:tcW w:type="dxa" w:w="4320"/>
          </w:tcPr>
          <w:p>
            <w:r>
              <w:t>Fully Diluted Valuation (FDV)</w:t>
            </w:r>
          </w:p>
        </w:tc>
        <w:tc>
          <w:tcPr>
            <w:tcW w:type="dxa" w:w="4320"/>
          </w:tcPr>
          <w:p>
            <w:r>
              <w:t>$20,000,000</w:t>
            </w:r>
          </w:p>
        </w:tc>
      </w:tr>
    </w:tbl>
    <w:p/>
    <w:p>
      <w:pPr>
        <w:pStyle w:val="Heading1"/>
      </w:pPr>
      <w:r>
        <w:rPr>
          <w:color w:val="F59E0B"/>
        </w:rPr>
        <w:t>8. Use of Funds</w:t>
      </w:r>
    </w:p>
    <w:p>
      <w:r>
        <w:drawing>
          <wp:inline xmlns:a="http://schemas.openxmlformats.org/drawingml/2006/main" xmlns:pic="http://schemas.openxmlformats.org/drawingml/2006/picture">
            <wp:extent cx="5669280" cy="2834640"/>
            <wp:docPr id="4" name="Picture 4"/>
            <wp:cNvGraphicFramePr>
              <a:graphicFrameLocks noChangeAspect="1"/>
            </wp:cNvGraphicFramePr>
            <a:graphic>
              <a:graphicData uri="http://schemas.openxmlformats.org/drawingml/2006/picture">
                <pic:pic>
                  <pic:nvPicPr>
                    <pic:cNvPr id="0" name="funds.png"/>
                    <pic:cNvPicPr/>
                  </pic:nvPicPr>
                  <pic:blipFill>
                    <a:blip r:embed="rId12"/>
                    <a:stretch>
                      <a:fillRect/>
                    </a:stretch>
                  </pic:blipFill>
                  <pic:spPr>
                    <a:xfrm>
                      <a:off x="0" y="0"/>
                      <a:ext cx="5669280" cy="2834640"/>
                    </a:xfrm>
                    <a:prstGeom prst="rect"/>
                  </pic:spPr>
                </pic:pic>
              </a:graphicData>
            </a:graphic>
          </wp:inline>
        </w:drawing>
      </w:r>
    </w:p>
    <w:tbl>
      <w:tblPr>
        <w:tblStyle w:val="TableGrid"/>
        <w:tblW w:type="auto" w:w="0"/>
        <w:jc w:val="center"/>
        <w:tblLook w:firstColumn="1" w:firstRow="1" w:lastColumn="0" w:lastRow="0" w:noHBand="0" w:noVBand="1" w:val="04A0"/>
      </w:tblPr>
      <w:tblGrid>
        <w:gridCol w:w="4320"/>
        <w:gridCol w:w="4320"/>
      </w:tblGrid>
      <w:tr>
        <w:tc>
          <w:tcPr>
            <w:tcW w:type="dxa" w:w="4320"/>
            <w:shd w:val="clear" w:fill="F59E0B"/>
          </w:tcPr>
          <w:p>
            <w:r/>
            <w:r>
              <w:rPr>
                <w:b/>
                <w:color w:val="FFFFFF"/>
              </w:rPr>
              <w:t>Category</w:t>
            </w:r>
          </w:p>
        </w:tc>
        <w:tc>
          <w:tcPr>
            <w:tcW w:type="dxa" w:w="4320"/>
            <w:shd w:val="clear" w:fill="F59E0B"/>
          </w:tcPr>
          <w:p>
            <w:r/>
            <w:r>
              <w:rPr>
                <w:b/>
                <w:color w:val="FFFFFF"/>
              </w:rPr>
              <w:t>Share</w:t>
            </w:r>
          </w:p>
        </w:tc>
      </w:tr>
      <w:tr>
        <w:tc>
          <w:tcPr>
            <w:tcW w:type="dxa" w:w="4320"/>
          </w:tcPr>
          <w:p>
            <w:r>
              <w:t>Product Development &amp; AI Infrastructure</w:t>
            </w:r>
          </w:p>
        </w:tc>
        <w:tc>
          <w:tcPr>
            <w:tcW w:type="dxa" w:w="4320"/>
          </w:tcPr>
          <w:p>
            <w:r>
              <w:t>32%</w:t>
            </w:r>
          </w:p>
        </w:tc>
      </w:tr>
      <w:tr>
        <w:tc>
          <w:tcPr>
            <w:tcW w:type="dxa" w:w="4320"/>
          </w:tcPr>
          <w:p>
            <w:r>
              <w:t>Marketing &amp; Growth</w:t>
            </w:r>
          </w:p>
        </w:tc>
        <w:tc>
          <w:tcPr>
            <w:tcW w:type="dxa" w:w="4320"/>
          </w:tcPr>
          <w:p>
            <w:r>
              <w:t>22%</w:t>
            </w:r>
          </w:p>
        </w:tc>
      </w:tr>
      <w:tr>
        <w:tc>
          <w:tcPr>
            <w:tcW w:type="dxa" w:w="4320"/>
          </w:tcPr>
          <w:p>
            <w:r>
              <w:t>Operations</w:t>
            </w:r>
          </w:p>
        </w:tc>
        <w:tc>
          <w:tcPr>
            <w:tcW w:type="dxa" w:w="4320"/>
          </w:tcPr>
          <w:p>
            <w:r>
              <w:t>12%</w:t>
            </w:r>
          </w:p>
        </w:tc>
      </w:tr>
      <w:tr>
        <w:tc>
          <w:tcPr>
            <w:tcW w:type="dxa" w:w="4320"/>
          </w:tcPr>
          <w:p>
            <w:r>
              <w:t>Legal &amp; Compliance</w:t>
            </w:r>
          </w:p>
        </w:tc>
        <w:tc>
          <w:tcPr>
            <w:tcW w:type="dxa" w:w="4320"/>
          </w:tcPr>
          <w:p>
            <w:r>
              <w:t>10%</w:t>
            </w:r>
          </w:p>
        </w:tc>
      </w:tr>
      <w:tr>
        <w:tc>
          <w:tcPr>
            <w:tcW w:type="dxa" w:w="4320"/>
          </w:tcPr>
          <w:p>
            <w:r>
              <w:t>Security Audits</w:t>
            </w:r>
          </w:p>
        </w:tc>
        <w:tc>
          <w:tcPr>
            <w:tcW w:type="dxa" w:w="4320"/>
          </w:tcPr>
          <w:p>
            <w:r>
              <w:t>8%</w:t>
            </w:r>
          </w:p>
        </w:tc>
      </w:tr>
      <w:tr>
        <w:tc>
          <w:tcPr>
            <w:tcW w:type="dxa" w:w="4320"/>
          </w:tcPr>
          <w:p>
            <w:r>
              <w:t>Liquidity Provision</w:t>
            </w:r>
          </w:p>
        </w:tc>
        <w:tc>
          <w:tcPr>
            <w:tcW w:type="dxa" w:w="4320"/>
          </w:tcPr>
          <w:p>
            <w:r>
              <w:t>10%</w:t>
            </w:r>
          </w:p>
        </w:tc>
      </w:tr>
      <w:tr>
        <w:tc>
          <w:tcPr>
            <w:tcW w:type="dxa" w:w="4320"/>
          </w:tcPr>
          <w:p>
            <w:r>
              <w:t>Contingency Reserve</w:t>
            </w:r>
          </w:p>
        </w:tc>
        <w:tc>
          <w:tcPr>
            <w:tcW w:type="dxa" w:w="4320"/>
          </w:tcPr>
          <w:p>
            <w:r>
              <w:t>6%</w:t>
            </w:r>
          </w:p>
        </w:tc>
      </w:tr>
    </w:tbl>
    <w:p/>
    <w:p>
      <w:pPr>
        <w:pStyle w:val="Heading1"/>
      </w:pPr>
      <w:r>
        <w:rPr>
          <w:color w:val="F59E0B"/>
        </w:rPr>
        <w:t>9. Roadmap</w:t>
      </w:r>
    </w:p>
    <w:p>
      <w:pPr>
        <w:pStyle w:val="Heading3"/>
      </w:pPr>
      <w:r>
        <w:rPr>
          <w:color w:val="111418"/>
        </w:rPr>
        <w:t>Q2 2026</w:t>
      </w:r>
    </w:p>
    <w:p>
      <w:pPr>
        <w:pStyle w:val="ListBullet"/>
      </w:pPr>
      <w:r>
        <w:t>Concept &amp; token design</w:t>
      </w:r>
    </w:p>
    <w:p>
      <w:pPr>
        <w:pStyle w:val="ListBullet"/>
      </w:pPr>
      <w:r>
        <w:t>Whitepaper &amp; legal review</w:t>
      </w:r>
    </w:p>
    <w:p>
      <w:pPr>
        <w:pStyle w:val="ListBullet"/>
      </w:pPr>
      <w:r>
        <w:t>Landing page &amp; waitlist</w:t>
      </w:r>
    </w:p>
    <w:p>
      <w:pPr>
        <w:pStyle w:val="Heading3"/>
      </w:pPr>
      <w:r>
        <w:rPr>
          <w:color w:val="111418"/>
        </w:rPr>
        <w:t>Q3 2026</w:t>
      </w:r>
    </w:p>
    <w:p>
      <w:pPr>
        <w:pStyle w:val="ListBullet"/>
      </w:pPr>
      <w:r>
        <w:t>MVP launch</w:t>
      </w:r>
    </w:p>
    <w:p>
      <w:pPr>
        <w:pStyle w:val="ListBullet"/>
      </w:pPr>
      <w:r>
        <w:t>AI services database (beta)</w:t>
      </w:r>
    </w:p>
    <w:p>
      <w:pPr>
        <w:pStyle w:val="ListBullet"/>
      </w:pPr>
      <w:r>
        <w:t>Comparison engine (alpha)</w:t>
      </w:r>
    </w:p>
    <w:p>
      <w:pPr>
        <w:pStyle w:val="ListBullet"/>
      </w:pPr>
      <w:r>
        <w:t>Team scaling</w:t>
      </w:r>
    </w:p>
    <w:p>
      <w:pPr>
        <w:pStyle w:val="ListBullet"/>
      </w:pPr>
      <w:r>
        <w:t>Smart contract development</w:t>
      </w:r>
    </w:p>
    <w:p>
      <w:pPr>
        <w:pStyle w:val="Heading3"/>
      </w:pPr>
      <w:r>
        <w:rPr>
          <w:color w:val="111418"/>
        </w:rPr>
        <w:t>Q4 2026</w:t>
      </w:r>
    </w:p>
    <w:p>
      <w:pPr>
        <w:pStyle w:val="ListBullet"/>
      </w:pPr>
      <w:r>
        <w:t>Contract audit &amp; deploy</w:t>
      </w:r>
    </w:p>
    <w:p>
      <w:pPr>
        <w:pStyle w:val="ListBullet"/>
      </w:pPr>
      <w:r>
        <w:t>ICO &amp; TGE</w:t>
      </w:r>
    </w:p>
    <w:p>
      <w:pPr>
        <w:pStyle w:val="ListBullet"/>
      </w:pPr>
      <w:r>
        <w:t>Staking v1</w:t>
      </w:r>
    </w:p>
    <w:p>
      <w:pPr>
        <w:pStyle w:val="ListBullet"/>
      </w:pPr>
      <w:r>
        <w:t>Rewards distribution begins</w:t>
      </w:r>
    </w:p>
    <w:p>
      <w:pPr>
        <w:pStyle w:val="Heading3"/>
      </w:pPr>
      <w:r>
        <w:rPr>
          <w:color w:val="111418"/>
        </w:rPr>
        <w:t>Q1 2027</w:t>
      </w:r>
    </w:p>
    <w:p>
      <w:pPr>
        <w:pStyle w:val="ListBullet"/>
      </w:pPr>
      <w:r>
        <w:t>AI agents marketplace (beta)</w:t>
      </w:r>
    </w:p>
    <w:p>
      <w:pPr>
        <w:pStyle w:val="ListBullet"/>
      </w:pPr>
      <w:r>
        <w:t>Premium access via TCA</w:t>
      </w:r>
    </w:p>
    <w:p>
      <w:pPr>
        <w:pStyle w:val="ListBullet"/>
      </w:pPr>
      <w:r>
        <w:t>Rewards &amp; curation</w:t>
      </w:r>
    </w:p>
    <w:p>
      <w:pPr>
        <w:pStyle w:val="ListBullet"/>
      </w:pPr>
      <w:r>
        <w:t>SMB onboarding</w:t>
      </w:r>
    </w:p>
    <w:p>
      <w:pPr>
        <w:pStyle w:val="Heading3"/>
      </w:pPr>
      <w:r>
        <w:rPr>
          <w:color w:val="111418"/>
        </w:rPr>
        <w:t>Q2 2027</w:t>
      </w:r>
    </w:p>
    <w:p>
      <w:pPr>
        <w:pStyle w:val="ListBullet"/>
      </w:pPr>
      <w:r>
        <w:t>B2B / API layer</w:t>
      </w:r>
    </w:p>
    <w:p>
      <w:pPr>
        <w:pStyle w:val="ListBullet"/>
      </w:pPr>
      <w:r>
        <w:t>Enterprise dashboard</w:t>
      </w:r>
    </w:p>
    <w:p>
      <w:pPr>
        <w:pStyle w:val="ListBullet"/>
      </w:pPr>
      <w:r>
        <w:t>Workflow templates</w:t>
      </w:r>
    </w:p>
    <w:p>
      <w:pPr>
        <w:pStyle w:val="ListBullet"/>
      </w:pPr>
      <w:r>
        <w:t>Partnerships</w:t>
      </w:r>
    </w:p>
    <w:p>
      <w:pPr>
        <w:pStyle w:val="Heading3"/>
      </w:pPr>
      <w:r>
        <w:rPr>
          <w:color w:val="111418"/>
        </w:rPr>
        <w:t>Q3–Q4 2027</w:t>
      </w:r>
    </w:p>
    <w:p>
      <w:pPr>
        <w:pStyle w:val="ListBullet"/>
      </w:pPr>
      <w:r>
        <w:t>Multichain launch</w:t>
      </w:r>
    </w:p>
    <w:p>
      <w:pPr>
        <w:pStyle w:val="ListBullet"/>
      </w:pPr>
      <w:r>
        <w:t>Governance expansion</w:t>
      </w:r>
    </w:p>
    <w:p>
      <w:pPr>
        <w:pStyle w:val="ListBullet"/>
      </w:pPr>
      <w:r>
        <w:t>Advanced reputation</w:t>
      </w:r>
    </w:p>
    <w:p>
      <w:pPr>
        <w:pStyle w:val="ListBullet"/>
      </w:pPr>
      <w:r>
        <w:t>Regional growth</w:t>
      </w:r>
    </w:p>
    <w:p>
      <w:pPr>
        <w:pStyle w:val="Heading1"/>
      </w:pPr>
      <w:r>
        <w:rPr>
          <w:color w:val="F59E0B"/>
        </w:rPr>
        <w:t>10. Go-to-Market</w:t>
      </w:r>
    </w:p>
    <w:p>
      <w:r>
        <w:rPr>
          <w:i w:val="0"/>
        </w:rPr>
        <w:t>Phase 1 (B2C): organic growth via SEO, AI tool comparisons, content, creator partnerships and referrals. Phase 2 (SMB): paid plans, ready playbooks, workflows and lead generation for vendors. Phase 3 (B2B / API): routing APIs, enterprise integrations, white-label modules and benchmarking products.</w:t>
      </w:r>
    </w:p>
    <w:p>
      <w:pPr>
        <w:pStyle w:val="Heading1"/>
      </w:pPr>
      <w:r>
        <w:rPr>
          <w:color w:val="F59E0B"/>
        </w:rPr>
        <w:t>11. Team &amp; Advisors</w:t>
      </w:r>
    </w:p>
    <w:p>
      <w:r>
        <w:rPr>
          <w:i w:val="0"/>
        </w:rPr>
        <w:t>The core team covers product strategy, platform engineering, AI integration, smart-contract development, growth &amp; partnerships, and legal &amp; compliance. Advisors and an advisory board will be disclosed in stages around TGE and fundraising. (Profiles to be added.)</w:t>
      </w:r>
    </w:p>
    <w:p>
      <w:pPr>
        <w:pStyle w:val="Heading1"/>
      </w:pPr>
      <w:r>
        <w:rPr>
          <w:color w:val="F59E0B"/>
        </w:rPr>
        <w:t>12. Risks</w:t>
      </w:r>
    </w:p>
    <w:p>
      <w:pPr>
        <w:pStyle w:val="ListBullet"/>
      </w:pPr>
      <w:r>
        <w:t>Regulatory uncertainty</w:t>
      </w:r>
    </w:p>
    <w:p>
      <w:pPr>
        <w:pStyle w:val="ListBullet"/>
      </w:pPr>
      <w:r>
        <w:t>Crypto market volatility</w:t>
      </w:r>
    </w:p>
    <w:p>
      <w:pPr>
        <w:pStyle w:val="ListBullet"/>
      </w:pPr>
      <w:r>
        <w:t>Smart-contract risk</w:t>
      </w:r>
    </w:p>
    <w:p>
      <w:pPr>
        <w:pStyle w:val="ListBullet"/>
      </w:pPr>
      <w:r>
        <w:t>Competition</w:t>
      </w:r>
    </w:p>
    <w:p>
      <w:pPr>
        <w:pStyle w:val="ListBullet"/>
      </w:pPr>
      <w:r>
        <w:t>Dependence on third-party AI providers</w:t>
      </w:r>
    </w:p>
    <w:p>
      <w:pPr>
        <w:pStyle w:val="ListBullet"/>
      </w:pPr>
      <w:r>
        <w:t>Execution risk</w:t>
      </w:r>
    </w:p>
    <w:p>
      <w:pPr>
        <w:pStyle w:val="ListBullet"/>
      </w:pPr>
      <w:r>
        <w:t>Adoption speed</w:t>
      </w:r>
    </w:p>
    <w:p>
      <w:r>
        <w:rPr>
          <w:i w:val="0"/>
        </w:rPr>
        <w:t>Participants acknowledge that token value may fluctuate and that TCA's utility does not guarantee returns.</w:t>
      </w:r>
    </w:p>
    <w:p>
      <w:pPr>
        <w:pStyle w:val="Heading1"/>
      </w:pPr>
      <w:r>
        <w:rPr>
          <w:color w:val="F59E0B"/>
        </w:rPr>
        <w:t>13. Conclusion</w:t>
      </w:r>
    </w:p>
    <w:p>
      <w:r>
        <w:rPr>
          <w:i w:val="0"/>
        </w:rPr>
        <w:t>TECHAGENT aims to become the trusted entry point into the AI economy. By combining discovery, comparison, reputation and an aligned utility token, the project helps people and businesses move from confusion to confident action. TCA exists to power real platform functions — not as a promise of speculative profit.</w:t>
      </w:r>
    </w:p>
    <w:p>
      <w:r>
        <w:br w:type="page"/>
      </w:r>
    </w:p>
    <w:p>
      <w:pPr>
        <w:pStyle w:val="Heading1"/>
      </w:pPr>
      <w:r>
        <w:rPr>
          <w:color w:val="F59E0B"/>
        </w:rPr>
        <w:t>Appendix A. Allocation</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fill="F59E0B"/>
          </w:tcPr>
          <w:p>
            <w:r/>
            <w:r>
              <w:rPr>
                <w:b/>
                <w:color w:val="FFFFFF"/>
              </w:rPr>
              <w:t>Category</w:t>
            </w:r>
          </w:p>
        </w:tc>
        <w:tc>
          <w:tcPr>
            <w:tcW w:type="dxa" w:w="2880"/>
            <w:shd w:val="clear" w:fill="F59E0B"/>
          </w:tcPr>
          <w:p>
            <w:r/>
            <w:r>
              <w:rPr>
                <w:b/>
                <w:color w:val="FFFFFF"/>
              </w:rPr>
              <w:t>Share</w:t>
            </w:r>
          </w:p>
        </w:tc>
        <w:tc>
          <w:tcPr>
            <w:tcW w:type="dxa" w:w="2880"/>
            <w:shd w:val="clear" w:fill="F59E0B"/>
          </w:tcPr>
          <w:p>
            <w:r/>
            <w:r>
              <w:rPr>
                <w:b/>
                <w:color w:val="FFFFFF"/>
              </w:rPr>
              <w:t>Tokens</w:t>
            </w:r>
          </w:p>
        </w:tc>
      </w:tr>
      <w:tr>
        <w:tc>
          <w:tcPr>
            <w:tcW w:type="dxa" w:w="2880"/>
          </w:tcPr>
          <w:p>
            <w:r>
              <w:t>Public Sale / ICO</w:t>
            </w:r>
          </w:p>
        </w:tc>
        <w:tc>
          <w:tcPr>
            <w:tcW w:type="dxa" w:w="2880"/>
          </w:tcPr>
          <w:p>
            <w:r>
              <w:t>18%</w:t>
            </w:r>
          </w:p>
        </w:tc>
        <w:tc>
          <w:tcPr>
            <w:tcW w:type="dxa" w:w="2880"/>
          </w:tcPr>
          <w:p>
            <w:r>
              <w:t>180,000,000</w:t>
            </w:r>
          </w:p>
        </w:tc>
      </w:tr>
      <w:tr>
        <w:tc>
          <w:tcPr>
            <w:tcW w:type="dxa" w:w="2880"/>
          </w:tcPr>
          <w:p>
            <w:r>
              <w:t>Ecosystem &amp; Rewards</w:t>
            </w:r>
          </w:p>
        </w:tc>
        <w:tc>
          <w:tcPr>
            <w:tcW w:type="dxa" w:w="2880"/>
          </w:tcPr>
          <w:p>
            <w:r>
              <w:t>22%</w:t>
            </w:r>
          </w:p>
        </w:tc>
        <w:tc>
          <w:tcPr>
            <w:tcW w:type="dxa" w:w="2880"/>
          </w:tcPr>
          <w:p>
            <w:r>
              <w:t>220,000,000</w:t>
            </w:r>
          </w:p>
        </w:tc>
      </w:tr>
      <w:tr>
        <w:tc>
          <w:tcPr>
            <w:tcW w:type="dxa" w:w="2880"/>
          </w:tcPr>
          <w:p>
            <w:r>
              <w:t>Treasury / Reserve</w:t>
            </w:r>
          </w:p>
        </w:tc>
        <w:tc>
          <w:tcPr>
            <w:tcW w:type="dxa" w:w="2880"/>
          </w:tcPr>
          <w:p>
            <w:r>
              <w:t>15%</w:t>
            </w:r>
          </w:p>
        </w:tc>
        <w:tc>
          <w:tcPr>
            <w:tcW w:type="dxa" w:w="2880"/>
          </w:tcPr>
          <w:p>
            <w:r>
              <w:t>150,000,000</w:t>
            </w:r>
          </w:p>
        </w:tc>
      </w:tr>
      <w:tr>
        <w:tc>
          <w:tcPr>
            <w:tcW w:type="dxa" w:w="2880"/>
          </w:tcPr>
          <w:p>
            <w:r>
              <w:t>Team</w:t>
            </w:r>
          </w:p>
        </w:tc>
        <w:tc>
          <w:tcPr>
            <w:tcW w:type="dxa" w:w="2880"/>
          </w:tcPr>
          <w:p>
            <w:r>
              <w:t>15%</w:t>
            </w:r>
          </w:p>
        </w:tc>
        <w:tc>
          <w:tcPr>
            <w:tcW w:type="dxa" w:w="2880"/>
          </w:tcPr>
          <w:p>
            <w:r>
              <w:t>150,000,000</w:t>
            </w:r>
          </w:p>
        </w:tc>
      </w:tr>
      <w:tr>
        <w:tc>
          <w:tcPr>
            <w:tcW w:type="dxa" w:w="2880"/>
          </w:tcPr>
          <w:p>
            <w:r>
              <w:t>Strategic Partners</w:t>
            </w:r>
          </w:p>
        </w:tc>
        <w:tc>
          <w:tcPr>
            <w:tcW w:type="dxa" w:w="2880"/>
          </w:tcPr>
          <w:p>
            <w:r>
              <w:t>8%</w:t>
            </w:r>
          </w:p>
        </w:tc>
        <w:tc>
          <w:tcPr>
            <w:tcW w:type="dxa" w:w="2880"/>
          </w:tcPr>
          <w:p>
            <w:r>
              <w:t>80,000,000</w:t>
            </w:r>
          </w:p>
        </w:tc>
      </w:tr>
      <w:tr>
        <w:tc>
          <w:tcPr>
            <w:tcW w:type="dxa" w:w="2880"/>
          </w:tcPr>
          <w:p>
            <w:r>
              <w:t>Advisors</w:t>
            </w:r>
          </w:p>
        </w:tc>
        <w:tc>
          <w:tcPr>
            <w:tcW w:type="dxa" w:w="2880"/>
          </w:tcPr>
          <w:p>
            <w:r>
              <w:t>4%</w:t>
            </w:r>
          </w:p>
        </w:tc>
        <w:tc>
          <w:tcPr>
            <w:tcW w:type="dxa" w:w="2880"/>
          </w:tcPr>
          <w:p>
            <w:r>
              <w:t>40,000,000</w:t>
            </w:r>
          </w:p>
        </w:tc>
      </w:tr>
      <w:tr>
        <w:tc>
          <w:tcPr>
            <w:tcW w:type="dxa" w:w="2880"/>
          </w:tcPr>
          <w:p>
            <w:r>
              <w:t>Marketing &amp; Community</w:t>
            </w:r>
          </w:p>
        </w:tc>
        <w:tc>
          <w:tcPr>
            <w:tcW w:type="dxa" w:w="2880"/>
          </w:tcPr>
          <w:p>
            <w:r>
              <w:t>10%</w:t>
            </w:r>
          </w:p>
        </w:tc>
        <w:tc>
          <w:tcPr>
            <w:tcW w:type="dxa" w:w="2880"/>
          </w:tcPr>
          <w:p>
            <w:r>
              <w:t>100,000,000</w:t>
            </w:r>
          </w:p>
        </w:tc>
      </w:tr>
      <w:tr>
        <w:tc>
          <w:tcPr>
            <w:tcW w:type="dxa" w:w="2880"/>
          </w:tcPr>
          <w:p>
            <w:r>
              <w:t>Liquidity / Market Making</w:t>
            </w:r>
          </w:p>
        </w:tc>
        <w:tc>
          <w:tcPr>
            <w:tcW w:type="dxa" w:w="2880"/>
          </w:tcPr>
          <w:p>
            <w:r>
              <w:t>8%</w:t>
            </w:r>
          </w:p>
        </w:tc>
        <w:tc>
          <w:tcPr>
            <w:tcW w:type="dxa" w:w="2880"/>
          </w:tcPr>
          <w:p>
            <w:r>
              <w:t>80,000,000</w:t>
            </w:r>
          </w:p>
        </w:tc>
      </w:tr>
    </w:tbl>
    <w:p/>
    <w:p>
      <w:pPr>
        <w:pStyle w:val="Heading1"/>
      </w:pPr>
      <w:r>
        <w:rPr>
          <w:color w:val="F59E0B"/>
        </w:rPr>
        <w:t>Appendix B. Vesting</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shd w:val="clear" w:fill="F59E0B"/>
          </w:tcPr>
          <w:p>
            <w:r/>
            <w:r>
              <w:rPr>
                <w:b/>
                <w:color w:val="FFFFFF"/>
              </w:rPr>
              <w:t>Category</w:t>
            </w:r>
          </w:p>
        </w:tc>
        <w:tc>
          <w:tcPr>
            <w:tcW w:type="dxa" w:w="2160"/>
            <w:shd w:val="clear" w:fill="F59E0B"/>
          </w:tcPr>
          <w:p>
            <w:r/>
            <w:r>
              <w:rPr>
                <w:b/>
                <w:color w:val="FFFFFF"/>
              </w:rPr>
              <w:t>At TGE</w:t>
            </w:r>
          </w:p>
        </w:tc>
        <w:tc>
          <w:tcPr>
            <w:tcW w:type="dxa" w:w="2160"/>
            <w:shd w:val="clear" w:fill="F59E0B"/>
          </w:tcPr>
          <w:p>
            <w:r/>
            <w:r>
              <w:rPr>
                <w:b/>
                <w:color w:val="FFFFFF"/>
              </w:rPr>
              <w:t>Cliff</w:t>
            </w:r>
          </w:p>
        </w:tc>
        <w:tc>
          <w:tcPr>
            <w:tcW w:type="dxa" w:w="2160"/>
            <w:shd w:val="clear" w:fill="F59E0B"/>
          </w:tcPr>
          <w:p>
            <w:r/>
            <w:r>
              <w:rPr>
                <w:b/>
                <w:color w:val="FFFFFF"/>
              </w:rPr>
              <w:t>Unlock</w:t>
            </w:r>
          </w:p>
        </w:tc>
      </w:tr>
      <w:tr>
        <w:tc>
          <w:tcPr>
            <w:tcW w:type="dxa" w:w="2160"/>
          </w:tcPr>
          <w:p>
            <w:r>
              <w:t>Public Sale</w:t>
            </w:r>
          </w:p>
        </w:tc>
        <w:tc>
          <w:tcPr>
            <w:tcW w:type="dxa" w:w="2160"/>
          </w:tcPr>
          <w:p>
            <w:r>
              <w:t>20%</w:t>
            </w:r>
          </w:p>
        </w:tc>
        <w:tc>
          <w:tcPr>
            <w:tcW w:type="dxa" w:w="2160"/>
          </w:tcPr>
          <w:p>
            <w:r>
              <w:t>—</w:t>
            </w:r>
          </w:p>
        </w:tc>
        <w:tc>
          <w:tcPr>
            <w:tcW w:type="dxa" w:w="2160"/>
          </w:tcPr>
          <w:p>
            <w:r>
              <w:t>Linear over 6 months</w:t>
            </w:r>
          </w:p>
        </w:tc>
      </w:tr>
      <w:tr>
        <w:tc>
          <w:tcPr>
            <w:tcW w:type="dxa" w:w="2160"/>
          </w:tcPr>
          <w:p>
            <w:r>
              <w:t>Team</w:t>
            </w:r>
          </w:p>
        </w:tc>
        <w:tc>
          <w:tcPr>
            <w:tcW w:type="dxa" w:w="2160"/>
          </w:tcPr>
          <w:p>
            <w:r>
              <w:t>0%</w:t>
            </w:r>
          </w:p>
        </w:tc>
        <w:tc>
          <w:tcPr>
            <w:tcW w:type="dxa" w:w="2160"/>
          </w:tcPr>
          <w:p>
            <w:r>
              <w:t>12 months</w:t>
            </w:r>
          </w:p>
        </w:tc>
        <w:tc>
          <w:tcPr>
            <w:tcW w:type="dxa" w:w="2160"/>
          </w:tcPr>
          <w:p>
            <w:r>
              <w:t>Linear over 24 months</w:t>
            </w:r>
          </w:p>
        </w:tc>
      </w:tr>
      <w:tr>
        <w:tc>
          <w:tcPr>
            <w:tcW w:type="dxa" w:w="2160"/>
          </w:tcPr>
          <w:p>
            <w:r>
              <w:t>Advisors</w:t>
            </w:r>
          </w:p>
        </w:tc>
        <w:tc>
          <w:tcPr>
            <w:tcW w:type="dxa" w:w="2160"/>
          </w:tcPr>
          <w:p>
            <w:r>
              <w:t>0%</w:t>
            </w:r>
          </w:p>
        </w:tc>
        <w:tc>
          <w:tcPr>
            <w:tcW w:type="dxa" w:w="2160"/>
          </w:tcPr>
          <w:p>
            <w:r>
              <w:t>6 months</w:t>
            </w:r>
          </w:p>
        </w:tc>
        <w:tc>
          <w:tcPr>
            <w:tcW w:type="dxa" w:w="2160"/>
          </w:tcPr>
          <w:p>
            <w:r>
              <w:t>Linear over 12 months</w:t>
            </w:r>
          </w:p>
        </w:tc>
      </w:tr>
      <w:tr>
        <w:tc>
          <w:tcPr>
            <w:tcW w:type="dxa" w:w="2160"/>
          </w:tcPr>
          <w:p>
            <w:r>
              <w:t>Strategic Partners</w:t>
            </w:r>
          </w:p>
        </w:tc>
        <w:tc>
          <w:tcPr>
            <w:tcW w:type="dxa" w:w="2160"/>
          </w:tcPr>
          <w:p>
            <w:r>
              <w:t>0%</w:t>
            </w:r>
          </w:p>
        </w:tc>
        <w:tc>
          <w:tcPr>
            <w:tcW w:type="dxa" w:w="2160"/>
          </w:tcPr>
          <w:p>
            <w:r>
              <w:t>3 months</w:t>
            </w:r>
          </w:p>
        </w:tc>
        <w:tc>
          <w:tcPr>
            <w:tcW w:type="dxa" w:w="2160"/>
          </w:tcPr>
          <w:p>
            <w:r>
              <w:t>Linear over 12 months</w:t>
            </w:r>
          </w:p>
        </w:tc>
      </w:tr>
      <w:tr>
        <w:tc>
          <w:tcPr>
            <w:tcW w:type="dxa" w:w="2160"/>
          </w:tcPr>
          <w:p>
            <w:r>
              <w:t>Marketing &amp; Community</w:t>
            </w:r>
          </w:p>
        </w:tc>
        <w:tc>
          <w:tcPr>
            <w:tcW w:type="dxa" w:w="2160"/>
          </w:tcPr>
          <w:p>
            <w:r>
              <w:t>Partial</w:t>
            </w:r>
          </w:p>
        </w:tc>
        <w:tc>
          <w:tcPr>
            <w:tcW w:type="dxa" w:w="2160"/>
          </w:tcPr>
          <w:p>
            <w:r>
              <w:t>—</w:t>
            </w:r>
          </w:p>
        </w:tc>
        <w:tc>
          <w:tcPr>
            <w:tcW w:type="dxa" w:w="2160"/>
          </w:tcPr>
          <w:p>
            <w:r>
              <w:t>24 months</w:t>
            </w:r>
          </w:p>
        </w:tc>
      </w:tr>
      <w:tr>
        <w:tc>
          <w:tcPr>
            <w:tcW w:type="dxa" w:w="2160"/>
          </w:tcPr>
          <w:p>
            <w:r>
              <w:t>Ecosystem &amp; Rewards</w:t>
            </w:r>
          </w:p>
        </w:tc>
        <w:tc>
          <w:tcPr>
            <w:tcW w:type="dxa" w:w="2160"/>
          </w:tcPr>
          <w:p>
            <w:r>
              <w:t>Partial</w:t>
            </w:r>
          </w:p>
        </w:tc>
        <w:tc>
          <w:tcPr>
            <w:tcW w:type="dxa" w:w="2160"/>
          </w:tcPr>
          <w:p>
            <w:r>
              <w:t>—</w:t>
            </w:r>
          </w:p>
        </w:tc>
        <w:tc>
          <w:tcPr>
            <w:tcW w:type="dxa" w:w="2160"/>
          </w:tcPr>
          <w:p>
            <w:r>
              <w:t>48 months (KPI-based)</w:t>
            </w:r>
          </w:p>
        </w:tc>
      </w:tr>
      <w:tr>
        <w:tc>
          <w:tcPr>
            <w:tcW w:type="dxa" w:w="2160"/>
          </w:tcPr>
          <w:p>
            <w:r>
              <w:t>Treasury</w:t>
            </w:r>
          </w:p>
        </w:tc>
        <w:tc>
          <w:tcPr>
            <w:tcW w:type="dxa" w:w="2160"/>
          </w:tcPr>
          <w:p>
            <w:r>
              <w:t>By governance</w:t>
            </w:r>
          </w:p>
        </w:tc>
        <w:tc>
          <w:tcPr>
            <w:tcW w:type="dxa" w:w="2160"/>
          </w:tcPr>
          <w:p>
            <w:r>
              <w:t>N/A</w:t>
            </w:r>
          </w:p>
        </w:tc>
        <w:tc>
          <w:tcPr>
            <w:tcW w:type="dxa" w:w="2160"/>
          </w:tcPr>
          <w:p>
            <w:r>
              <w:t>Unlocked by vote</w:t>
            </w:r>
          </w:p>
        </w:tc>
      </w:tr>
    </w:tbl>
    <w:p/>
    <w:p>
      <w:pPr>
        <w:pStyle w:val="Heading1"/>
      </w:pPr>
      <w:r>
        <w:rPr>
          <w:color w:val="F59E0B"/>
        </w:rPr>
        <w:t>Appendix C. Key Metrics</w:t>
      </w:r>
    </w:p>
    <w:tbl>
      <w:tblPr>
        <w:tblStyle w:val="TableGrid"/>
        <w:tblW w:type="auto" w:w="0"/>
        <w:jc w:val="center"/>
        <w:tblLook w:firstColumn="1" w:firstRow="1" w:lastColumn="0" w:lastRow="0" w:noHBand="0" w:noVBand="1" w:val="04A0"/>
      </w:tblPr>
      <w:tblGrid>
        <w:gridCol w:w="4320"/>
        <w:gridCol w:w="4320"/>
      </w:tblGrid>
      <w:tr>
        <w:tc>
          <w:tcPr>
            <w:tcW w:type="dxa" w:w="4320"/>
            <w:shd w:val="clear" w:fill="F59E0B"/>
          </w:tcPr>
          <w:p>
            <w:r/>
            <w:r>
              <w:rPr>
                <w:b/>
                <w:color w:val="FFFFFF"/>
              </w:rPr>
              <w:t>Metric</w:t>
            </w:r>
          </w:p>
        </w:tc>
        <w:tc>
          <w:tcPr>
            <w:tcW w:type="dxa" w:w="4320"/>
            <w:shd w:val="clear" w:fill="F59E0B"/>
          </w:tcPr>
          <w:p>
            <w:r/>
            <w:r>
              <w:rPr>
                <w:b/>
                <w:color w:val="FFFFFF"/>
              </w:rPr>
              <w:t>Value</w:t>
            </w:r>
          </w:p>
        </w:tc>
      </w:tr>
      <w:tr>
        <w:tc>
          <w:tcPr>
            <w:tcW w:type="dxa" w:w="4320"/>
          </w:tcPr>
          <w:p>
            <w:r>
              <w:t>Total supply</w:t>
            </w:r>
          </w:p>
        </w:tc>
        <w:tc>
          <w:tcPr>
            <w:tcW w:type="dxa" w:w="4320"/>
          </w:tcPr>
          <w:p>
            <w:r>
              <w:t>1,000,000,000 TCA</w:t>
            </w:r>
          </w:p>
        </w:tc>
      </w:tr>
      <w:tr>
        <w:tc>
          <w:tcPr>
            <w:tcW w:type="dxa" w:w="4320"/>
          </w:tcPr>
          <w:p>
            <w:r>
              <w:t>Public Sale Price</w:t>
            </w:r>
          </w:p>
        </w:tc>
        <w:tc>
          <w:tcPr>
            <w:tcW w:type="dxa" w:w="4320"/>
          </w:tcPr>
          <w:p>
            <w:r>
              <w:t>$0.020 per TCA</w:t>
            </w:r>
          </w:p>
        </w:tc>
      </w:tr>
      <w:tr>
        <w:tc>
          <w:tcPr>
            <w:tcW w:type="dxa" w:w="4320"/>
          </w:tcPr>
          <w:p>
            <w:r>
              <w:t>Public Sale Amount</w:t>
            </w:r>
          </w:p>
        </w:tc>
        <w:tc>
          <w:tcPr>
            <w:tcW w:type="dxa" w:w="4320"/>
          </w:tcPr>
          <w:p>
            <w:r>
              <w:t>180,000,000 TCA</w:t>
            </w:r>
          </w:p>
        </w:tc>
      </w:tr>
      <w:tr>
        <w:tc>
          <w:tcPr>
            <w:tcW w:type="dxa" w:w="4320"/>
          </w:tcPr>
          <w:p>
            <w:r>
              <w:t>Soft Cap</w:t>
            </w:r>
          </w:p>
        </w:tc>
        <w:tc>
          <w:tcPr>
            <w:tcW w:type="dxa" w:w="4320"/>
          </w:tcPr>
          <w:p>
            <w:r>
              <w:t>$1,500,000</w:t>
            </w:r>
          </w:p>
        </w:tc>
      </w:tr>
      <w:tr>
        <w:tc>
          <w:tcPr>
            <w:tcW w:type="dxa" w:w="4320"/>
          </w:tcPr>
          <w:p>
            <w:r>
              <w:t>Hard Cap</w:t>
            </w:r>
          </w:p>
        </w:tc>
        <w:tc>
          <w:tcPr>
            <w:tcW w:type="dxa" w:w="4320"/>
          </w:tcPr>
          <w:p>
            <w:r>
              <w:t>$3,600,000</w:t>
            </w:r>
          </w:p>
        </w:tc>
      </w:tr>
      <w:tr>
        <w:tc>
          <w:tcPr>
            <w:tcW w:type="dxa" w:w="4320"/>
          </w:tcPr>
          <w:p>
            <w:r>
              <w:t>Circulating at TGE</w:t>
            </w:r>
          </w:p>
        </w:tc>
        <w:tc>
          <w:tcPr>
            <w:tcW w:type="dxa" w:w="4320"/>
          </w:tcPr>
          <w:p>
            <w:r>
              <w:t>~150,000,000 TCA (15%)</w:t>
            </w:r>
          </w:p>
        </w:tc>
      </w:tr>
      <w:tr>
        <w:tc>
          <w:tcPr>
            <w:tcW w:type="dxa" w:w="4320"/>
          </w:tcPr>
          <w:p>
            <w:r>
              <w:t>Initial Market Cap</w:t>
            </w:r>
          </w:p>
        </w:tc>
        <w:tc>
          <w:tcPr>
            <w:tcW w:type="dxa" w:w="4320"/>
          </w:tcPr>
          <w:p>
            <w:r>
              <w:t>~$3,000,000</w:t>
            </w:r>
          </w:p>
        </w:tc>
      </w:tr>
      <w:tr>
        <w:tc>
          <w:tcPr>
            <w:tcW w:type="dxa" w:w="4320"/>
          </w:tcPr>
          <w:p>
            <w:r>
              <w:t>Fully Diluted Valuation (FDV)</w:t>
            </w:r>
          </w:p>
        </w:tc>
        <w:tc>
          <w:tcPr>
            <w:tcW w:type="dxa" w:w="4320"/>
          </w:tcPr>
          <w:p>
            <w:r>
              <w:t>$20,000,000</w:t>
            </w:r>
          </w:p>
        </w:tc>
      </w:tr>
    </w:tbl>
    <w:p/>
    <w:p>
      <w:pPr>
        <w:pStyle w:val="Heading1"/>
      </w:pPr>
      <w:r>
        <w:rPr>
          <w:color w:val="F59E0B"/>
        </w:rPr>
        <w:t>Contacts</w:t>
      </w:r>
    </w:p>
    <w:p>
      <w:pPr>
        <w:pStyle w:val="ListBullet"/>
      </w:pPr>
      <w:r>
        <w:t>Website: techagent.com</w:t>
      </w:r>
    </w:p>
    <w:p>
      <w:pPr>
        <w:pStyle w:val="ListBullet"/>
      </w:pPr>
      <w:r>
        <w:t>Email: info@techagent.com</w:t>
      </w:r>
    </w:p>
    <w:p>
      <w:pPr>
        <w:pStyle w:val="ListBullet"/>
      </w:pPr>
      <w:r>
        <w:t>Contract (Base): 0x0F81294C2549D1CabAc3ecBbd0d21e2d073F2309</w:t>
      </w:r>
    </w:p>
    <w:p>
      <w:pPr>
        <w:pStyle w:val="ListBullet"/>
      </w:pPr>
      <w:r>
        <w:t>BaseScan: https://basescan.org/token/0x0F81294C2549D1CabAc3ecBbd0d21e2d073F2309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